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泸县综合行政执法局2020年</w:t>
      </w:r>
      <w:r>
        <w:rPr>
          <w:rFonts w:hint="eastAsia" w:ascii="方正小标宋_GBK" w:eastAsia="方正小标宋_GBK"/>
          <w:sz w:val="44"/>
          <w:szCs w:val="44"/>
          <w:lang w:val="en-US" w:eastAsia="zh-CN"/>
        </w:rPr>
        <w:t>11</w:t>
      </w:r>
      <w:r>
        <w:rPr>
          <w:rFonts w:hint="eastAsia" w:ascii="方正小标宋_GBK" w:eastAsia="方正小标宋_GBK"/>
          <w:sz w:val="44"/>
          <w:szCs w:val="44"/>
        </w:rPr>
        <w:t>月行政处罚案件信息公开表</w:t>
      </w:r>
    </w:p>
    <w:p/>
    <w:tbl>
      <w:tblPr>
        <w:tblStyle w:val="6"/>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
        <w:gridCol w:w="1230"/>
        <w:gridCol w:w="2303"/>
        <w:gridCol w:w="2650"/>
        <w:gridCol w:w="1496"/>
        <w:gridCol w:w="2097"/>
        <w:gridCol w:w="1960"/>
        <w:gridCol w:w="1295"/>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4" w:hRule="atLeast"/>
          <w:tblHeader/>
        </w:trPr>
        <w:tc>
          <w:tcPr>
            <w:tcW w:w="394"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23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行政处罚决定文书号</w:t>
            </w:r>
          </w:p>
        </w:tc>
        <w:tc>
          <w:tcPr>
            <w:tcW w:w="2303"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案件名称</w:t>
            </w:r>
          </w:p>
        </w:tc>
        <w:tc>
          <w:tcPr>
            <w:tcW w:w="265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违法企业名称或违法自然人统一社会信用代码</w:t>
            </w:r>
          </w:p>
        </w:tc>
        <w:tc>
          <w:tcPr>
            <w:tcW w:w="1496"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处罚事由</w:t>
            </w:r>
          </w:p>
        </w:tc>
        <w:tc>
          <w:tcPr>
            <w:tcW w:w="2097"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行政处罚结果和依据</w:t>
            </w:r>
          </w:p>
        </w:tc>
        <w:tc>
          <w:tcPr>
            <w:tcW w:w="196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救济渠道</w:t>
            </w:r>
          </w:p>
        </w:tc>
        <w:tc>
          <w:tcPr>
            <w:tcW w:w="1295"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作出处罚的日期</w:t>
            </w:r>
          </w:p>
        </w:tc>
        <w:tc>
          <w:tcPr>
            <w:tcW w:w="561"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394"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r>
              <w:rPr>
                <w:rFonts w:ascii="仿宋_GB2312" w:hAnsi="宋体" w:eastAsia="仿宋_GB2312" w:cs="宋体"/>
                <w:color w:val="000000" w:themeColor="text1"/>
                <w:kern w:val="0"/>
                <w:sz w:val="24"/>
                <w:szCs w:val="24"/>
                <w14:textFill>
                  <w14:solidFill>
                    <w14:schemeClr w14:val="tx1"/>
                  </w14:solidFill>
                </w14:textFill>
              </w:rPr>
              <w:t>1</w:t>
            </w:r>
          </w:p>
        </w:tc>
        <w:tc>
          <w:tcPr>
            <w:tcW w:w="1230" w:type="dxa"/>
            <w:shd w:val="clear" w:color="auto" w:fill="auto"/>
            <w:vAlign w:val="center"/>
          </w:tcPr>
          <w:p>
            <w:pPr>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泸县综执罚</w:t>
            </w:r>
            <w:r>
              <w:rPr>
                <w:rFonts w:hint="eastAsia" w:ascii="仿宋_GB2312" w:hAnsi="仿宋" w:eastAsia="仿宋_GB2312"/>
                <w:color w:val="000000" w:themeColor="text1"/>
                <w:sz w:val="24"/>
                <w:lang w:eastAsia="zh-CN"/>
                <w14:textFill>
                  <w14:solidFill>
                    <w14:schemeClr w14:val="tx1"/>
                  </w14:solidFill>
                </w14:textFill>
              </w:rPr>
              <w:t>规</w:t>
            </w:r>
            <w:r>
              <w:rPr>
                <w:rFonts w:hint="eastAsia" w:ascii="仿宋_GB2312" w:hAnsi="仿宋" w:eastAsia="仿宋_GB2312"/>
                <w:color w:val="000000" w:themeColor="text1"/>
                <w:sz w:val="24"/>
                <w14:textFill>
                  <w14:solidFill>
                    <w14:schemeClr w14:val="tx1"/>
                  </w14:solidFill>
                </w14:textFill>
              </w:rPr>
              <w:t>〔2020〕第</w:t>
            </w:r>
            <w:r>
              <w:rPr>
                <w:rFonts w:hint="eastAsia" w:ascii="仿宋_GB2312" w:hAnsi="仿宋" w:eastAsia="仿宋_GB2312"/>
                <w:color w:val="000000" w:themeColor="text1"/>
                <w:sz w:val="24"/>
                <w:lang w:val="en-US" w:eastAsia="zh-CN"/>
                <w14:textFill>
                  <w14:solidFill>
                    <w14:schemeClr w14:val="tx1"/>
                  </w14:solidFill>
                </w14:textFill>
              </w:rPr>
              <w:t>2</w:t>
            </w:r>
            <w:r>
              <w:rPr>
                <w:rFonts w:hint="eastAsia" w:ascii="仿宋_GB2312" w:hAnsi="仿宋" w:eastAsia="仿宋_GB2312"/>
                <w:color w:val="000000" w:themeColor="text1"/>
                <w:sz w:val="24"/>
                <w14:textFill>
                  <w14:solidFill>
                    <w14:schemeClr w14:val="tx1"/>
                  </w14:solidFill>
                </w14:textFill>
              </w:rPr>
              <w:t>号</w:t>
            </w:r>
          </w:p>
        </w:tc>
        <w:tc>
          <w:tcPr>
            <w:tcW w:w="2303" w:type="dxa"/>
            <w:shd w:val="clear" w:color="auto" w:fill="auto"/>
            <w:vAlign w:val="center"/>
          </w:tcPr>
          <w:p>
            <w:pPr>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泸县奇峰镇杨尚乾等十四户在泸县奇峰镇永安街二段旧房改造工程中未按建设工程规划许可证进行建设案</w:t>
            </w:r>
          </w:p>
        </w:tc>
        <w:tc>
          <w:tcPr>
            <w:tcW w:w="2650" w:type="dxa"/>
            <w:shd w:val="clear" w:color="auto" w:fill="auto"/>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泸县奇峰镇杨尚乾等十四户</w:t>
            </w:r>
          </w:p>
          <w:p>
            <w:pPr>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（杨尚乾、何文、泸县永安供销社、杨尚瑶、杨朝辉、王昌贵、王宗先、罗守伦、何平、林智勇、陈身群、黄顺珍、周厚云、周炳强）</w:t>
            </w:r>
          </w:p>
        </w:tc>
        <w:tc>
          <w:tcPr>
            <w:tcW w:w="1496" w:type="dxa"/>
            <w:shd w:val="clear" w:color="auto" w:fill="auto"/>
            <w:vAlign w:val="center"/>
          </w:tcPr>
          <w:p>
            <w:pPr>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未按建设工程规划许可证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的规定</w:t>
            </w:r>
            <w:r>
              <w:rPr>
                <w:rFonts w:hint="eastAsia" w:ascii="仿宋_GB2312" w:hAnsi="仿宋_GB2312" w:eastAsia="仿宋_GB2312" w:cs="仿宋_GB2312"/>
                <w:color w:val="000000" w:themeColor="text1"/>
                <w:kern w:val="0"/>
                <w:sz w:val="24"/>
                <w:szCs w:val="24"/>
                <w14:textFill>
                  <w14:solidFill>
                    <w14:schemeClr w14:val="tx1"/>
                  </w14:solidFill>
                </w14:textFill>
              </w:rPr>
              <w:t>进行建设</w:t>
            </w:r>
          </w:p>
        </w:tc>
        <w:tc>
          <w:tcPr>
            <w:tcW w:w="2097" w:type="dxa"/>
            <w:shd w:val="clear" w:color="auto" w:fill="auto"/>
            <w:vAlign w:val="center"/>
          </w:tcPr>
          <w:p>
            <w:pPr>
              <w:jc w:val="center"/>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《中华人民共和国城乡规划法》第六十四条，罚款人民币224547.16元（大写：贰拾贰万肆仟伍佰肆拾柒元壹角陆分）</w:t>
            </w:r>
          </w:p>
        </w:tc>
        <w:tc>
          <w:tcPr>
            <w:tcW w:w="1960"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60日内向泸州市城市管理行政执法局或泸县人民政府申请行政复议，或者在收到本决定书之日起6个月内向泸县人民法院起诉</w:t>
            </w:r>
          </w:p>
        </w:tc>
        <w:tc>
          <w:tcPr>
            <w:tcW w:w="1295" w:type="dxa"/>
            <w:shd w:val="clear" w:color="auto" w:fill="auto"/>
            <w:vAlign w:val="center"/>
          </w:tcPr>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2020.</w:t>
            </w:r>
            <w:r>
              <w:rPr>
                <w:rFonts w:hint="eastAsia" w:ascii="仿宋_GB2312" w:eastAsia="仿宋_GB2312"/>
                <w:color w:val="000000" w:themeColor="text1"/>
                <w:sz w:val="24"/>
                <w:lang w:val="en-US" w:eastAsia="zh-CN"/>
                <w14:textFill>
                  <w14:solidFill>
                    <w14:schemeClr w14:val="tx1"/>
                  </w14:solidFill>
                </w14:textFill>
              </w:rPr>
              <w:t>11</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27</w:t>
            </w:r>
          </w:p>
        </w:tc>
        <w:tc>
          <w:tcPr>
            <w:tcW w:w="561"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17" w:hRule="atLeast"/>
        </w:trPr>
        <w:tc>
          <w:tcPr>
            <w:tcW w:w="394" w:type="dxa"/>
            <w:shd w:val="clear" w:color="auto" w:fill="auto"/>
            <w:vAlign w:val="center"/>
          </w:tcPr>
          <w:p>
            <w:pPr>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w:t>
            </w:r>
          </w:p>
        </w:tc>
        <w:tc>
          <w:tcPr>
            <w:tcW w:w="1230" w:type="dxa"/>
            <w:shd w:val="clear" w:color="auto" w:fill="auto"/>
            <w:vAlign w:val="center"/>
          </w:tcPr>
          <w:p>
            <w:pPr>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泸县综执罚</w:t>
            </w:r>
            <w:r>
              <w:rPr>
                <w:rFonts w:hint="eastAsia" w:ascii="仿宋_GB2312" w:hAnsi="仿宋" w:eastAsia="仿宋_GB2312"/>
                <w:color w:val="000000" w:themeColor="text1"/>
                <w:sz w:val="24"/>
                <w:lang w:eastAsia="zh-CN"/>
                <w14:textFill>
                  <w14:solidFill>
                    <w14:schemeClr w14:val="tx1"/>
                  </w14:solidFill>
                </w14:textFill>
              </w:rPr>
              <w:t>规</w:t>
            </w:r>
            <w:r>
              <w:rPr>
                <w:rFonts w:hint="eastAsia" w:ascii="仿宋_GB2312" w:hAnsi="仿宋" w:eastAsia="仿宋_GB2312"/>
                <w:color w:val="000000" w:themeColor="text1"/>
                <w:sz w:val="24"/>
                <w14:textFill>
                  <w14:solidFill>
                    <w14:schemeClr w14:val="tx1"/>
                  </w14:solidFill>
                </w14:textFill>
              </w:rPr>
              <w:t>〔2020〕第</w:t>
            </w:r>
            <w:r>
              <w:rPr>
                <w:rFonts w:hint="eastAsia" w:ascii="仿宋_GB2312" w:hAnsi="仿宋" w:eastAsia="仿宋_GB2312"/>
                <w:color w:val="000000" w:themeColor="text1"/>
                <w:sz w:val="24"/>
                <w:lang w:val="en-US" w:eastAsia="zh-CN"/>
                <w14:textFill>
                  <w14:solidFill>
                    <w14:schemeClr w14:val="tx1"/>
                  </w14:solidFill>
                </w14:textFill>
              </w:rPr>
              <w:t>3</w:t>
            </w:r>
            <w:r>
              <w:rPr>
                <w:rFonts w:hint="eastAsia" w:ascii="仿宋_GB2312" w:hAnsi="仿宋" w:eastAsia="仿宋_GB2312"/>
                <w:color w:val="000000" w:themeColor="text1"/>
                <w:sz w:val="24"/>
                <w14:textFill>
                  <w14:solidFill>
                    <w14:schemeClr w14:val="tx1"/>
                  </w14:solidFill>
                </w14:textFill>
              </w:rPr>
              <w:t>号</w:t>
            </w:r>
          </w:p>
        </w:tc>
        <w:tc>
          <w:tcPr>
            <w:tcW w:w="2303" w:type="dxa"/>
            <w:shd w:val="clear" w:color="auto" w:fill="auto"/>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泸县云锦镇青狮魏寿清、胡清华等户在泸县云锦镇青狮场魏寿清、胡清华等户自建房项目中未按照建设工程规划许可证的规定进行建设</w:t>
            </w:r>
          </w:p>
        </w:tc>
        <w:tc>
          <w:tcPr>
            <w:tcW w:w="2650" w:type="dxa"/>
            <w:shd w:val="clear" w:color="auto" w:fill="auto"/>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泸县云锦镇青狮魏寿清、胡清华等户（魏寿清、胡清华、高祖林、何绍群、张渭）</w:t>
            </w:r>
          </w:p>
        </w:tc>
        <w:tc>
          <w:tcPr>
            <w:tcW w:w="1496" w:type="dxa"/>
            <w:shd w:val="clear" w:color="auto" w:fill="auto"/>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未按照建设工程规划许可证的规定进行建设</w:t>
            </w:r>
          </w:p>
        </w:tc>
        <w:tc>
          <w:tcPr>
            <w:tcW w:w="2097" w:type="dxa"/>
            <w:shd w:val="clear" w:color="auto" w:fill="auto"/>
            <w:vAlign w:val="center"/>
          </w:tcPr>
          <w:p>
            <w:pPr>
              <w:jc w:val="center"/>
              <w:rPr>
                <w:rFonts w:hint="eastAsia" w:ascii="仿宋_GB2312" w:hAnsi="仿宋" w:eastAsia="仿宋_GB2312"/>
                <w:color w:val="000000" w:themeColor="text1"/>
                <w:sz w:val="24"/>
                <w:szCs w:val="24"/>
                <w:lang w:eastAsia="zh-CN"/>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《中华人民共和国城乡规划法》第六十四条</w:t>
            </w:r>
            <w:r>
              <w:rPr>
                <w:rFonts w:hint="eastAsia" w:ascii="仿宋_GB2312" w:hAnsi="仿宋" w:eastAsia="仿宋_GB2312"/>
                <w:color w:val="000000" w:themeColor="text1"/>
                <w:sz w:val="24"/>
                <w:szCs w:val="24"/>
                <w:lang w:eastAsia="zh-CN"/>
                <w14:textFill>
                  <w14:solidFill>
                    <w14:schemeClr w14:val="tx1"/>
                  </w14:solidFill>
                </w14:textFill>
              </w:rPr>
              <w:t>，罚款金额131107.36元（大写：壹拾叁万壹仟壹佰零柒元叁角陆分）</w:t>
            </w:r>
          </w:p>
        </w:tc>
        <w:tc>
          <w:tcPr>
            <w:tcW w:w="1960" w:type="dxa"/>
            <w:shd w:val="clear" w:color="auto" w:fill="auto"/>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60日内向泸州市城市管理行政执法局或泸县人民政府申请行政复议，或者在收到本决定书之日起6个月内向泸县人民法院起诉</w:t>
            </w:r>
          </w:p>
        </w:tc>
        <w:tc>
          <w:tcPr>
            <w:tcW w:w="1295" w:type="dxa"/>
            <w:shd w:val="clear" w:color="auto" w:fill="auto"/>
            <w:vAlign w:val="center"/>
          </w:tcPr>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2020.11.27</w:t>
            </w:r>
          </w:p>
        </w:tc>
        <w:tc>
          <w:tcPr>
            <w:tcW w:w="561"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p>
        </w:tc>
      </w:tr>
    </w:tbl>
    <w:p/>
    <w:p>
      <w:pPr>
        <w:jc w:val="center"/>
        <w:rPr>
          <w:rFonts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p>
    <w:p>
      <w:pPr>
        <w:jc w:val="center"/>
        <w:rPr>
          <w:rFonts w:hint="eastAsia" w:ascii="方正小标宋_GBK" w:eastAsia="方正小标宋_GBK"/>
          <w:sz w:val="44"/>
          <w:lang w:eastAsia="zh-CN"/>
        </w:rPr>
      </w:pPr>
      <w:r>
        <w:rPr>
          <w:rFonts w:hint="eastAsia" w:ascii="方正小标宋_GBK" w:eastAsia="方正小标宋_GBK"/>
          <w:sz w:val="44"/>
          <w:lang w:eastAsia="zh-CN"/>
        </w:rPr>
        <w:drawing>
          <wp:inline distT="0" distB="0" distL="114300" distR="114300">
            <wp:extent cx="5985510" cy="8415655"/>
            <wp:effectExtent l="0" t="0" r="15240" b="4445"/>
            <wp:docPr id="1" name="图片 1" descr="151f40b0cd9bebb496936d1272f1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1f40b0cd9bebb496936d1272f10d2"/>
                    <pic:cNvPicPr>
                      <a:picLocks noChangeAspect="1"/>
                    </pic:cNvPicPr>
                  </pic:nvPicPr>
                  <pic:blipFill>
                    <a:blip r:embed="rId4"/>
                    <a:stretch>
                      <a:fillRect/>
                    </a:stretch>
                  </pic:blipFill>
                  <pic:spPr>
                    <a:xfrm>
                      <a:off x="0" y="0"/>
                      <a:ext cx="5985510" cy="8415655"/>
                    </a:xfrm>
                    <a:prstGeom prst="rect">
                      <a:avLst/>
                    </a:prstGeom>
                  </pic:spPr>
                </pic:pic>
              </a:graphicData>
            </a:graphic>
          </wp:inline>
        </w:drawing>
      </w:r>
    </w:p>
    <w:p>
      <w:pPr>
        <w:jc w:val="center"/>
        <w:rPr>
          <w:rFonts w:hint="eastAsia" w:ascii="方正小标宋_GBK" w:eastAsia="方正小标宋_GBK"/>
          <w:sz w:val="44"/>
          <w:lang w:eastAsia="zh-CN"/>
        </w:rPr>
      </w:pPr>
      <w:bookmarkStart w:id="0" w:name="_GoBack"/>
      <w:r>
        <w:rPr>
          <w:rFonts w:hint="eastAsia" w:ascii="方正小标宋_GBK" w:eastAsia="方正小标宋_GBK"/>
          <w:sz w:val="44"/>
          <w:lang w:eastAsia="zh-CN"/>
        </w:rPr>
        <w:drawing>
          <wp:inline distT="0" distB="0" distL="114300" distR="114300">
            <wp:extent cx="5677535" cy="7983855"/>
            <wp:effectExtent l="0" t="0" r="18415" b="17145"/>
            <wp:docPr id="2" name="图片 2" descr="1b178159b2d560032e2ff3e0ceb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178159b2d560032e2ff3e0ceb4303"/>
                    <pic:cNvPicPr>
                      <a:picLocks noChangeAspect="1"/>
                    </pic:cNvPicPr>
                  </pic:nvPicPr>
                  <pic:blipFill>
                    <a:blip r:embed="rId5"/>
                    <a:stretch>
                      <a:fillRect/>
                    </a:stretch>
                  </pic:blipFill>
                  <pic:spPr>
                    <a:xfrm>
                      <a:off x="0" y="0"/>
                      <a:ext cx="5677535" cy="7983855"/>
                    </a:xfrm>
                    <a:prstGeom prst="rect">
                      <a:avLst/>
                    </a:prstGeom>
                  </pic:spPr>
                </pic:pic>
              </a:graphicData>
            </a:graphic>
          </wp:inline>
        </w:drawing>
      </w:r>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249E7"/>
    <w:rsid w:val="00035FFE"/>
    <w:rsid w:val="00064DF9"/>
    <w:rsid w:val="000F726B"/>
    <w:rsid w:val="001A3D82"/>
    <w:rsid w:val="002700EB"/>
    <w:rsid w:val="002C78F8"/>
    <w:rsid w:val="00300A27"/>
    <w:rsid w:val="00347A42"/>
    <w:rsid w:val="004536EF"/>
    <w:rsid w:val="004C1DBA"/>
    <w:rsid w:val="005C753F"/>
    <w:rsid w:val="00605265"/>
    <w:rsid w:val="00627B74"/>
    <w:rsid w:val="006733C2"/>
    <w:rsid w:val="00675945"/>
    <w:rsid w:val="00685106"/>
    <w:rsid w:val="006E2470"/>
    <w:rsid w:val="006F007A"/>
    <w:rsid w:val="007B63BF"/>
    <w:rsid w:val="00812053"/>
    <w:rsid w:val="00852C96"/>
    <w:rsid w:val="009E2E2A"/>
    <w:rsid w:val="00A13263"/>
    <w:rsid w:val="00AB464D"/>
    <w:rsid w:val="00B933C0"/>
    <w:rsid w:val="00C20071"/>
    <w:rsid w:val="00D07867"/>
    <w:rsid w:val="00D444E5"/>
    <w:rsid w:val="00DE6167"/>
    <w:rsid w:val="00E264F5"/>
    <w:rsid w:val="00E560D4"/>
    <w:rsid w:val="00E56C7F"/>
    <w:rsid w:val="00F36793"/>
    <w:rsid w:val="00FB47A7"/>
    <w:rsid w:val="00FD3E87"/>
    <w:rsid w:val="00FD4166"/>
    <w:rsid w:val="00FF17A5"/>
    <w:rsid w:val="0D78385E"/>
    <w:rsid w:val="131C2280"/>
    <w:rsid w:val="1384493E"/>
    <w:rsid w:val="155E3779"/>
    <w:rsid w:val="1FCD52C4"/>
    <w:rsid w:val="22733CB2"/>
    <w:rsid w:val="28DD42E4"/>
    <w:rsid w:val="2FFF3C0D"/>
    <w:rsid w:val="3E482482"/>
    <w:rsid w:val="3FA9525E"/>
    <w:rsid w:val="41A969FD"/>
    <w:rsid w:val="46456ABE"/>
    <w:rsid w:val="4B09514E"/>
    <w:rsid w:val="4DFD383D"/>
    <w:rsid w:val="781708D3"/>
    <w:rsid w:val="7D70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
    <w:pPr>
      <w:keepNext/>
      <w:keepLines/>
      <w:spacing w:before="260" w:after="260" w:line="413" w:lineRule="auto"/>
      <w:jc w:val="center"/>
      <w:outlineLvl w:val="2"/>
    </w:pPr>
    <w:rPr>
      <w:rFonts w:ascii="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link w:val="9"/>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9">
    <w:name w:val="样式1 Char"/>
    <w:basedOn w:val="7"/>
    <w:link w:val="8"/>
    <w:qFormat/>
    <w:uiPriority w:val="0"/>
    <w:rPr>
      <w:rFonts w:ascii="方正小标宋_GBK" w:hAnsi="等线" w:eastAsia="方正小标宋_GBK" w:cs="Times New Roman"/>
      <w:sz w:val="44"/>
      <w:szCs w:val="44"/>
    </w:rPr>
  </w:style>
  <w:style w:type="paragraph" w:customStyle="1" w:styleId="10">
    <w:name w:val="样式2"/>
    <w:basedOn w:val="1"/>
    <w:link w:val="11"/>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11">
    <w:name w:val="样式2 Char"/>
    <w:basedOn w:val="7"/>
    <w:link w:val="10"/>
    <w:qFormat/>
    <w:uiPriority w:val="0"/>
    <w:rPr>
      <w:rFonts w:ascii="仿宋_GB2312" w:hAnsi="等线" w:eastAsia="仿宋_GB2312" w:cs="Times New Roman"/>
      <w:sz w:val="32"/>
      <w:szCs w:val="32"/>
    </w:rPr>
  </w:style>
  <w:style w:type="paragraph" w:customStyle="1" w:styleId="12">
    <w:name w:val="样式3"/>
    <w:basedOn w:val="1"/>
    <w:link w:val="13"/>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3">
    <w:name w:val="样式3 Char"/>
    <w:basedOn w:val="7"/>
    <w:link w:val="12"/>
    <w:qFormat/>
    <w:uiPriority w:val="0"/>
    <w:rPr>
      <w:rFonts w:ascii="黑体" w:hAnsi="黑体" w:eastAsia="黑体" w:cs="Times New Roman"/>
      <w:sz w:val="32"/>
      <w:szCs w:val="32"/>
    </w:rPr>
  </w:style>
  <w:style w:type="character" w:customStyle="1" w:styleId="14">
    <w:name w:val="标题 2 字符"/>
    <w:basedOn w:val="7"/>
    <w:link w:val="3"/>
    <w:qFormat/>
    <w:uiPriority w:val="9"/>
    <w:rPr>
      <w:rFonts w:ascii="宋体" w:hAnsi="宋体" w:eastAsia="宋体" w:cs="宋体"/>
      <w:b/>
      <w:bCs/>
      <w:kern w:val="0"/>
      <w:sz w:val="36"/>
      <w:szCs w:val="36"/>
    </w:rPr>
  </w:style>
  <w:style w:type="character" w:customStyle="1" w:styleId="15">
    <w:name w:val="页眉 字符"/>
    <w:basedOn w:val="7"/>
    <w:link w:val="5"/>
    <w:qFormat/>
    <w:uiPriority w:val="99"/>
    <w:rPr>
      <w:rFonts w:asciiTheme="minorHAnsi" w:hAnsiTheme="minorHAnsi" w:eastAsiaTheme="minorEastAsia" w:cstheme="minorBidi"/>
      <w:kern w:val="2"/>
      <w:sz w:val="18"/>
      <w:szCs w:val="18"/>
    </w:rPr>
  </w:style>
  <w:style w:type="character" w:customStyle="1" w:styleId="16">
    <w:name w:val="页脚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293</Characters>
  <Lines>2</Lines>
  <Paragraphs>1</Paragraphs>
  <TotalTime>0</TotalTime>
  <ScaleCrop>false</ScaleCrop>
  <LinksUpToDate>false</LinksUpToDate>
  <CharactersWithSpaces>343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Administrator</cp:lastModifiedBy>
  <dcterms:modified xsi:type="dcterms:W3CDTF">2020-12-07T02:49:07Z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